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9622"/>
      </w:tblGrid>
      <w:tr w:rsidR="00320745" w:rsidRPr="00A46FF0" w14:paraId="0A50A5BB" w14:textId="77777777" w:rsidTr="00765700">
        <w:trPr>
          <w:jc w:val="center"/>
        </w:trPr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3D3AAEA" w14:textId="75809752" w:rsidR="00320745" w:rsidRPr="00A46FF0" w:rsidRDefault="00320745" w:rsidP="00320745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Georgia" w:eastAsia="Calibri" w:hAnsi="Georgia" w:cs="Calibri"/>
                <w:b/>
              </w:rPr>
            </w:pPr>
            <w:r w:rsidRPr="00A46FF0">
              <w:rPr>
                <w:rFonts w:ascii="Georgia" w:eastAsia="Calibri" w:hAnsi="Georgia" w:cs="Calibri"/>
                <w:b/>
              </w:rPr>
              <w:t>ALLEGATO C - DICHIARAZIONE CRITERI TABELLARI</w:t>
            </w:r>
          </w:p>
        </w:tc>
      </w:tr>
      <w:tr w:rsidR="00320745" w:rsidRPr="00A46FF0" w14:paraId="6BACCECD" w14:textId="77777777" w:rsidTr="00765700">
        <w:trPr>
          <w:jc w:val="center"/>
        </w:trPr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DCB570C" w14:textId="77777777" w:rsidR="00C1752A" w:rsidRPr="00A46FF0" w:rsidRDefault="00C1752A" w:rsidP="00765700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b/>
                <w:bCs/>
              </w:rPr>
            </w:pPr>
            <w:r w:rsidRPr="00A46FF0">
              <w:rPr>
                <w:rFonts w:ascii="Georgia" w:eastAsia="Calibri" w:hAnsi="Georgia" w:cs="Calibri"/>
                <w:b/>
                <w:bCs/>
              </w:rPr>
              <w:t>PROCEDURA NEGOZIATA SENZA BANDO DA AGGIUDICARSI CON IL CRITERIO DELL’OFFERTA ECONOMICAMENTE PIU’ VANTAGGIOSA PER L’AFFIDAMENTO DELLA FORNITURA DI “ARREDI BATTERY MATERIALS ENGINEERING LABORATORY PRESSO EN: LAB”</w:t>
            </w:r>
          </w:p>
          <w:p w14:paraId="458E2CA4" w14:textId="5A9896CF" w:rsidR="00320745" w:rsidRPr="00A46FF0" w:rsidRDefault="00320745" w:rsidP="00765700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b/>
                <w:bCs/>
              </w:rPr>
            </w:pPr>
            <w:r w:rsidRPr="00A46FF0">
              <w:rPr>
                <w:rFonts w:ascii="Georgia" w:eastAsia="Calibri" w:hAnsi="Georgia" w:cs="Calibri"/>
                <w:b/>
                <w:bCs/>
              </w:rPr>
              <w:t xml:space="preserve">CIG </w:t>
            </w:r>
            <w:r w:rsidR="00B14BF6" w:rsidRPr="00B14BF6">
              <w:rPr>
                <w:rFonts w:ascii="Georgia" w:eastAsia="Calibri" w:hAnsi="Georgia" w:cs="Calibri"/>
                <w:b/>
                <w:bCs/>
              </w:rPr>
              <w:t>B33B10E4C4</w:t>
            </w:r>
          </w:p>
          <w:p w14:paraId="7A536093" w14:textId="4C72E110" w:rsidR="00320745" w:rsidRPr="00A46FF0" w:rsidRDefault="00320745" w:rsidP="00765700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Georgia" w:eastAsia="Calibri" w:hAnsi="Georgia" w:cs="Calibri"/>
                <w:b/>
                <w:bCs/>
              </w:rPr>
            </w:pPr>
            <w:r w:rsidRPr="00A46FF0">
              <w:rPr>
                <w:rFonts w:ascii="Georgia" w:eastAsia="Calibri" w:hAnsi="Georgia" w:cs="Calibri"/>
                <w:b/>
                <w:bCs/>
              </w:rPr>
              <w:t xml:space="preserve">CUP </w:t>
            </w:r>
            <w:r w:rsidR="00B14BF6" w:rsidRPr="00B14BF6">
              <w:rPr>
                <w:rFonts w:ascii="Georgia" w:eastAsia="Calibri" w:hAnsi="Georgia" w:cs="Calibri"/>
                <w:b/>
                <w:bCs/>
              </w:rPr>
              <w:t>D44I17000050001</w:t>
            </w:r>
          </w:p>
        </w:tc>
      </w:tr>
    </w:tbl>
    <w:p w14:paraId="3DC4E313" w14:textId="5AE13125" w:rsid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Calibri"/>
          <w:b/>
          <w:color w:val="000000" w:themeColor="text1"/>
        </w:rPr>
      </w:pPr>
    </w:p>
    <w:p w14:paraId="0C274996" w14:textId="77777777" w:rsidR="00A46FF0" w:rsidRPr="00A46FF0" w:rsidRDefault="00A46FF0" w:rsidP="003732A0">
      <w:pPr>
        <w:autoSpaceDE w:val="0"/>
        <w:autoSpaceDN w:val="0"/>
        <w:adjustRightInd w:val="0"/>
        <w:spacing w:line="276" w:lineRule="auto"/>
        <w:jc w:val="center"/>
        <w:rPr>
          <w:rFonts w:ascii="Georgia" w:hAnsi="Georgia" w:cs="Calibri"/>
          <w:b/>
          <w:color w:val="000000" w:themeColor="text1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5245"/>
        <w:gridCol w:w="4394"/>
      </w:tblGrid>
      <w:tr w:rsidR="00001AED" w:rsidRPr="00A46FF0" w14:paraId="23AEA904" w14:textId="56001A84" w:rsidTr="00A46FF0">
        <w:trPr>
          <w:trHeight w:val="1610"/>
        </w:trPr>
        <w:tc>
          <w:tcPr>
            <w:tcW w:w="5245" w:type="dxa"/>
            <w:vAlign w:val="center"/>
          </w:tcPr>
          <w:p w14:paraId="6DBA6B2E" w14:textId="0009E296" w:rsidR="00001AED" w:rsidRPr="00A46FF0" w:rsidRDefault="00A2366C" w:rsidP="00DA63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</w:pPr>
            <w:r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>CRITERI TABELLARI</w:t>
            </w:r>
          </w:p>
        </w:tc>
        <w:tc>
          <w:tcPr>
            <w:tcW w:w="4394" w:type="dxa"/>
          </w:tcPr>
          <w:p w14:paraId="35C5F849" w14:textId="5A3EBD9B" w:rsidR="00001AED" w:rsidRDefault="00001AED" w:rsidP="00DA633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</w:pPr>
            <w:r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 xml:space="preserve">CARATTERISTICHE </w:t>
            </w:r>
            <w:r w:rsidR="00DA6334"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 xml:space="preserve">DEGLI ARREDI </w:t>
            </w:r>
            <w:r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>OFFERT</w:t>
            </w:r>
            <w:r w:rsidR="00DA6334"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>I</w:t>
            </w:r>
          </w:p>
          <w:p w14:paraId="1BDBEC05" w14:textId="577EA520" w:rsidR="00001AED" w:rsidRPr="00A46FF0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MS Mincho" w:hAnsi="Georgia" w:cs="Calibri"/>
                <w:sz w:val="20"/>
                <w:szCs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Indicare i valori reali specifici delle ca</w:t>
            </w:r>
            <w:r w:rsidR="007A6150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ratteristiche dell’attrezzatura. </w:t>
            </w: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Per i requisiti che non prevedono misure,</w:t>
            </w:r>
            <w:r w:rsidR="00EF5E60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 </w:t>
            </w: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confermare la presenza della caratteristica</w:t>
            </w:r>
            <w:r w:rsidR="00EF5E60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 </w:t>
            </w:r>
            <w:r w:rsidR="00434774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offerta</w:t>
            </w: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, ove possibile specificando modalità o dettagli dell’attrezzatura che rispondono al requisito</w:t>
            </w:r>
            <w:r w:rsidR="00EF5E60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.</w:t>
            </w:r>
          </w:p>
          <w:p w14:paraId="4D32802F" w14:textId="77777777" w:rsidR="00A02B5A" w:rsidRPr="00A46FF0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MS Mincho" w:hAnsi="Georgia" w:cs="Calibri"/>
                <w:sz w:val="20"/>
                <w:szCs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Pr="00A46FF0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MS Mincho" w:hAnsi="Georgia" w:cs="Calibri"/>
                <w:sz w:val="20"/>
                <w:szCs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6DA6D205" w14:textId="4D4CCE9E" w:rsidR="00513BA3" w:rsidRPr="00A46FF0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Georgia" w:eastAsia="MS Mincho" w:hAnsi="Georgia" w:cs="Calibri"/>
                <w:sz w:val="20"/>
                <w:szCs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25275CC9" w:rsidR="00A46FF0" w:rsidRPr="00A46FF0" w:rsidRDefault="00471A69" w:rsidP="00A46FF0">
            <w:pPr>
              <w:autoSpaceDE w:val="0"/>
              <w:autoSpaceDN w:val="0"/>
              <w:adjustRightInd w:val="0"/>
              <w:spacing w:line="276" w:lineRule="auto"/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</w:pP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In caso di </w:t>
            </w:r>
            <w:r w:rsidR="008E2924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assenza di una chiara indicazione dell’opzione offerta </w:t>
            </w:r>
            <w:r w:rsidR="003B4D39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o</w:t>
            </w:r>
            <w:r w:rsidR="008E2924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 </w:t>
            </w: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di </w:t>
            </w:r>
            <w:r w:rsidR="00336D6D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even</w:t>
            </w:r>
            <w:r w:rsidR="004A63AC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t</w:t>
            </w:r>
            <w:r w:rsidR="00336D6D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uali </w:t>
            </w: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valori richiesti </w:t>
            </w:r>
            <w:r w:rsidR="00A35CE1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 xml:space="preserve">sarà attribuito il punteggio </w:t>
            </w:r>
            <w:r w:rsidR="00F10A91"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pari a zero per il criterio corrispondente indicato a sistema.</w:t>
            </w:r>
          </w:p>
        </w:tc>
      </w:tr>
      <w:tr w:rsidR="00C47FEA" w:rsidRPr="00A46FF0" w14:paraId="536FA417" w14:textId="77777777" w:rsidTr="00A46FF0">
        <w:trPr>
          <w:trHeight w:val="549"/>
        </w:trPr>
        <w:tc>
          <w:tcPr>
            <w:tcW w:w="5245" w:type="dxa"/>
            <w:vAlign w:val="center"/>
          </w:tcPr>
          <w:p w14:paraId="5E1560E5" w14:textId="0007BF7E" w:rsidR="004720E1" w:rsidRPr="00A46FF0" w:rsidRDefault="00C1752A" w:rsidP="004720E1">
            <w:pPr>
              <w:suppressAutoHyphens w:val="0"/>
              <w:spacing w:line="312" w:lineRule="auto"/>
              <w:jc w:val="left"/>
              <w:rPr>
                <w:rFonts w:ascii="Georgia" w:eastAsia="MS Mincho" w:hAnsi="Georgia" w:cs="Calibri"/>
                <w:b/>
                <w:sz w:val="20"/>
                <w:szCs w:val="20"/>
                <w:lang w:val="x-none" w:eastAsia="x-none"/>
              </w:rPr>
            </w:pPr>
            <w:r w:rsidRPr="00A46FF0">
              <w:rPr>
                <w:rFonts w:ascii="Georgia" w:eastAsia="MS Mincho" w:hAnsi="Georgia" w:cs="Calibri"/>
                <w:b/>
                <w:sz w:val="20"/>
                <w:szCs w:val="20"/>
                <w:lang w:eastAsia="x-none"/>
              </w:rPr>
              <w:t>1.a)</w:t>
            </w:r>
            <w:r w:rsidR="00745397" w:rsidRPr="00A46FF0">
              <w:rPr>
                <w:rFonts w:ascii="Georgia" w:eastAsia="MS Mincho" w:hAnsi="Georgia" w:cs="Calibri"/>
                <w:b/>
                <w:sz w:val="20"/>
                <w:szCs w:val="20"/>
                <w:lang w:eastAsia="x-none"/>
              </w:rPr>
              <w:t xml:space="preserve"> </w:t>
            </w:r>
            <w:r w:rsidRPr="00A46FF0">
              <w:rPr>
                <w:rFonts w:ascii="Georgia" w:eastAsia="MS Mincho" w:hAnsi="Georgia" w:cs="Calibri"/>
                <w:b/>
                <w:sz w:val="20"/>
                <w:szCs w:val="20"/>
                <w:lang w:val="x-none" w:eastAsia="x-none"/>
              </w:rPr>
              <w:t>Disciplina della responsabilità delle persone giuridiche (</w:t>
            </w:r>
            <w:proofErr w:type="spellStart"/>
            <w:r w:rsidRPr="00A46FF0">
              <w:rPr>
                <w:rFonts w:ascii="Georgia" w:eastAsia="MS Mincho" w:hAnsi="Georgia" w:cs="Calibri"/>
                <w:b/>
                <w:sz w:val="20"/>
                <w:szCs w:val="20"/>
                <w:lang w:val="x-none" w:eastAsia="x-none"/>
              </w:rPr>
              <w:t>D.Lgs</w:t>
            </w:r>
            <w:proofErr w:type="spellEnd"/>
            <w:r w:rsidRPr="00A46FF0">
              <w:rPr>
                <w:rFonts w:ascii="Georgia" w:eastAsia="MS Mincho" w:hAnsi="Georgia" w:cs="Calibri"/>
                <w:b/>
                <w:sz w:val="20"/>
                <w:szCs w:val="20"/>
                <w:lang w:val="x-none" w:eastAsia="x-none"/>
              </w:rPr>
              <w:t xml:space="preserve"> 231/01)</w:t>
            </w:r>
          </w:p>
          <w:p w14:paraId="093A7318" w14:textId="0C03B8E0" w:rsidR="00745397" w:rsidRPr="00A46FF0" w:rsidRDefault="00745397" w:rsidP="00DA6334">
            <w:pPr>
              <w:pStyle w:val="Paragrafoelenco"/>
              <w:numPr>
                <w:ilvl w:val="0"/>
                <w:numId w:val="23"/>
              </w:numPr>
              <w:suppressAutoHyphens w:val="0"/>
              <w:spacing w:line="312" w:lineRule="auto"/>
              <w:jc w:val="left"/>
              <w:rPr>
                <w:rFonts w:ascii="Georgia" w:eastAsia="MS Mincho" w:hAnsi="Georgia" w:cs="Calibri"/>
                <w:sz w:val="20"/>
                <w:szCs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Possesso del requisito</w:t>
            </w:r>
          </w:p>
          <w:p w14:paraId="71BB20FB" w14:textId="6E431325" w:rsidR="00A46FF0" w:rsidRPr="003A16C9" w:rsidRDefault="00745397" w:rsidP="003A16C9">
            <w:pPr>
              <w:pStyle w:val="Paragrafoelenco"/>
              <w:numPr>
                <w:ilvl w:val="0"/>
                <w:numId w:val="23"/>
              </w:numPr>
              <w:suppressAutoHyphens w:val="0"/>
              <w:spacing w:line="312" w:lineRule="auto"/>
              <w:jc w:val="left"/>
              <w:rPr>
                <w:rFonts w:ascii="Georgia" w:eastAsia="MS Mincho" w:hAnsi="Georgia" w:cs="Calibri"/>
                <w:sz w:val="20"/>
                <w:szCs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Non possesso del requisito</w:t>
            </w:r>
          </w:p>
        </w:tc>
        <w:tc>
          <w:tcPr>
            <w:tcW w:w="4394" w:type="dxa"/>
          </w:tcPr>
          <w:p w14:paraId="32ED44A8" w14:textId="0FBDC1FB" w:rsidR="001D1E23" w:rsidRPr="00A46FF0" w:rsidRDefault="00615439" w:rsidP="00A46F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</w:pPr>
            <w:r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4720E1"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>l’opzione offerta</w:t>
            </w:r>
          </w:p>
        </w:tc>
      </w:tr>
      <w:tr w:rsidR="00C47FEA" w:rsidRPr="00A46FF0" w14:paraId="03D05640" w14:textId="77777777" w:rsidTr="00A46FF0">
        <w:trPr>
          <w:trHeight w:val="549"/>
        </w:trPr>
        <w:tc>
          <w:tcPr>
            <w:tcW w:w="5245" w:type="dxa"/>
            <w:vAlign w:val="center"/>
          </w:tcPr>
          <w:p w14:paraId="10F732A5" w14:textId="638BAA0E" w:rsidR="00C47FEA" w:rsidRPr="00A46FF0" w:rsidRDefault="00320745" w:rsidP="004720E1">
            <w:pPr>
              <w:pStyle w:val="Nessunaspaziatura"/>
              <w:spacing w:after="0" w:line="312" w:lineRule="auto"/>
              <w:jc w:val="left"/>
              <w:rPr>
                <w:rFonts w:ascii="Georgia" w:eastAsia="MS Mincho" w:hAnsi="Georgia" w:cs="Calibri"/>
                <w:b/>
                <w:sz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b/>
                <w:sz w:val="20"/>
                <w:lang w:eastAsia="x-none"/>
              </w:rPr>
              <w:t>2</w:t>
            </w:r>
            <w:r w:rsidR="00745397" w:rsidRPr="00A46FF0">
              <w:rPr>
                <w:rFonts w:ascii="Georgia" w:eastAsia="MS Mincho" w:hAnsi="Georgia" w:cs="Calibri"/>
                <w:b/>
                <w:sz w:val="20"/>
                <w:lang w:eastAsia="x-none"/>
              </w:rPr>
              <w:t>.b) Adozione codice etico</w:t>
            </w:r>
          </w:p>
          <w:p w14:paraId="352C26AE" w14:textId="77777777" w:rsidR="00745397" w:rsidRPr="00A46FF0" w:rsidRDefault="00745397" w:rsidP="00DA6334">
            <w:pPr>
              <w:pStyle w:val="Paragrafoelenco"/>
              <w:numPr>
                <w:ilvl w:val="0"/>
                <w:numId w:val="24"/>
              </w:numPr>
              <w:suppressAutoHyphens w:val="0"/>
              <w:spacing w:line="312" w:lineRule="auto"/>
              <w:jc w:val="left"/>
              <w:rPr>
                <w:rFonts w:ascii="Georgia" w:eastAsia="MS Mincho" w:hAnsi="Georgia" w:cs="Calibri"/>
                <w:sz w:val="20"/>
                <w:szCs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Possesso del requisito</w:t>
            </w:r>
          </w:p>
          <w:p w14:paraId="2DD96EE3" w14:textId="79D4A252" w:rsidR="004720E1" w:rsidRPr="00A46FF0" w:rsidRDefault="00745397" w:rsidP="00DA6334">
            <w:pPr>
              <w:pStyle w:val="Nessunaspaziatura"/>
              <w:numPr>
                <w:ilvl w:val="0"/>
                <w:numId w:val="24"/>
              </w:numPr>
              <w:spacing w:after="0" w:line="312" w:lineRule="auto"/>
              <w:jc w:val="left"/>
              <w:rPr>
                <w:rFonts w:ascii="Georgia" w:eastAsia="MS Mincho" w:hAnsi="Georgia" w:cs="Calibri"/>
                <w:sz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lang w:eastAsia="x-none"/>
              </w:rPr>
              <w:t>Non possesso del requisito</w:t>
            </w:r>
          </w:p>
        </w:tc>
        <w:tc>
          <w:tcPr>
            <w:tcW w:w="4394" w:type="dxa"/>
          </w:tcPr>
          <w:p w14:paraId="31C50FCF" w14:textId="27BDEBFA" w:rsidR="00167913" w:rsidRPr="00A46FF0" w:rsidRDefault="00167913" w:rsidP="00A46F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</w:pPr>
            <w:r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4720E1"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>l’opzione offerta</w:t>
            </w:r>
          </w:p>
          <w:p w14:paraId="097FB85C" w14:textId="77777777" w:rsidR="00C47FEA" w:rsidRPr="00A46FF0" w:rsidRDefault="00C47FEA" w:rsidP="00A46F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A46FF0" w14:paraId="15182A41" w14:textId="77777777" w:rsidTr="00A46FF0">
        <w:trPr>
          <w:trHeight w:val="549"/>
        </w:trPr>
        <w:tc>
          <w:tcPr>
            <w:tcW w:w="5245" w:type="dxa"/>
            <w:vAlign w:val="center"/>
          </w:tcPr>
          <w:p w14:paraId="3DBD8A32" w14:textId="77777777" w:rsidR="00320745" w:rsidRPr="00A46FF0" w:rsidRDefault="00DA6334" w:rsidP="00320745">
            <w:pPr>
              <w:pStyle w:val="Nessunaspaziatura"/>
              <w:spacing w:after="0" w:line="312" w:lineRule="auto"/>
              <w:rPr>
                <w:rFonts w:ascii="Georgia" w:eastAsia="MS Mincho" w:hAnsi="Georgia" w:cs="Calibri"/>
                <w:b/>
                <w:sz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b/>
                <w:sz w:val="20"/>
                <w:lang w:eastAsia="x-none"/>
              </w:rPr>
              <w:t>2.c) Adozione politiche aziendali per la parità di genere</w:t>
            </w:r>
          </w:p>
          <w:p w14:paraId="2B6B8266" w14:textId="77777777" w:rsidR="00DA6334" w:rsidRPr="00A46FF0" w:rsidRDefault="00DA6334" w:rsidP="00DA6334">
            <w:pPr>
              <w:pStyle w:val="Paragrafoelenco"/>
              <w:numPr>
                <w:ilvl w:val="0"/>
                <w:numId w:val="25"/>
              </w:numPr>
              <w:suppressAutoHyphens w:val="0"/>
              <w:spacing w:line="312" w:lineRule="auto"/>
              <w:jc w:val="left"/>
              <w:rPr>
                <w:rFonts w:ascii="Georgia" w:eastAsia="MS Mincho" w:hAnsi="Georgia" w:cs="Calibri"/>
                <w:sz w:val="20"/>
                <w:szCs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szCs w:val="20"/>
                <w:lang w:eastAsia="x-none"/>
              </w:rPr>
              <w:t>Possesso del requisito</w:t>
            </w:r>
          </w:p>
          <w:p w14:paraId="288237BE" w14:textId="56763B8D" w:rsidR="00DA6334" w:rsidRPr="00A46FF0" w:rsidRDefault="00DA6334" w:rsidP="00DA6334">
            <w:pPr>
              <w:pStyle w:val="Nessunaspaziatura"/>
              <w:numPr>
                <w:ilvl w:val="0"/>
                <w:numId w:val="25"/>
              </w:numPr>
              <w:spacing w:after="0" w:line="312" w:lineRule="auto"/>
              <w:rPr>
                <w:rFonts w:ascii="Georgia" w:eastAsia="MS Mincho" w:hAnsi="Georgia" w:cs="Calibri"/>
                <w:sz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lang w:eastAsia="x-none"/>
              </w:rPr>
              <w:t>Non possesso del requisito</w:t>
            </w:r>
          </w:p>
        </w:tc>
        <w:tc>
          <w:tcPr>
            <w:tcW w:w="4394" w:type="dxa"/>
          </w:tcPr>
          <w:p w14:paraId="26A14D1D" w14:textId="7A865D7F" w:rsidR="00167913" w:rsidRPr="00A46FF0" w:rsidRDefault="00DA6334" w:rsidP="00A46F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  <w:tr w:rsidR="00C47FEA" w:rsidRPr="00A46FF0" w14:paraId="43D8C610" w14:textId="77777777" w:rsidTr="00A46FF0">
        <w:trPr>
          <w:trHeight w:val="549"/>
        </w:trPr>
        <w:tc>
          <w:tcPr>
            <w:tcW w:w="5245" w:type="dxa"/>
            <w:vAlign w:val="center"/>
          </w:tcPr>
          <w:p w14:paraId="6D847B5C" w14:textId="77777777" w:rsidR="002B44D9" w:rsidRPr="00A46FF0" w:rsidRDefault="00DA6334" w:rsidP="00DA6334">
            <w:pPr>
              <w:pStyle w:val="Nessunaspaziatura"/>
              <w:spacing w:after="0" w:line="312" w:lineRule="auto"/>
              <w:rPr>
                <w:rFonts w:ascii="Georgia" w:eastAsiaTheme="minorHAnsi" w:hAnsi="Georgia" w:cs="Garamond"/>
                <w:b/>
                <w:color w:val="000000"/>
                <w:sz w:val="22"/>
                <w:szCs w:val="22"/>
                <w:lang w:eastAsia="en-US"/>
              </w:rPr>
            </w:pPr>
            <w:r w:rsidRPr="00A46FF0">
              <w:rPr>
                <w:rFonts w:ascii="Georgia" w:eastAsiaTheme="minorHAnsi" w:hAnsi="Georgia" w:cs="Garamond"/>
                <w:b/>
                <w:color w:val="000000"/>
                <w:sz w:val="22"/>
                <w:szCs w:val="22"/>
                <w:lang w:eastAsia="en-US"/>
              </w:rPr>
              <w:lastRenderedPageBreak/>
              <w:t>3.c Garanzia</w:t>
            </w:r>
          </w:p>
          <w:p w14:paraId="3A0E4BD2" w14:textId="57CEE2C9" w:rsidR="00DA6334" w:rsidRPr="00A46FF0" w:rsidRDefault="00DA6334" w:rsidP="00DA6334">
            <w:pPr>
              <w:pStyle w:val="Nessunaspaziatura"/>
              <w:numPr>
                <w:ilvl w:val="0"/>
                <w:numId w:val="26"/>
              </w:numPr>
              <w:spacing w:line="312" w:lineRule="auto"/>
              <w:rPr>
                <w:rFonts w:ascii="Georgia" w:eastAsia="MS Mincho" w:hAnsi="Georgia" w:cs="Calibri"/>
                <w:sz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lang w:eastAsia="x-none"/>
              </w:rPr>
              <w:t>fino a 12 mesi</w:t>
            </w:r>
          </w:p>
          <w:p w14:paraId="517F82D1" w14:textId="3BEAD0D0" w:rsidR="00DA6334" w:rsidRPr="00A46FF0" w:rsidRDefault="00DA6334" w:rsidP="00DA6334">
            <w:pPr>
              <w:pStyle w:val="Nessunaspaziatura"/>
              <w:numPr>
                <w:ilvl w:val="0"/>
                <w:numId w:val="26"/>
              </w:numPr>
              <w:spacing w:line="312" w:lineRule="auto"/>
              <w:rPr>
                <w:rFonts w:ascii="Georgia" w:eastAsia="MS Mincho" w:hAnsi="Georgia" w:cs="Calibri"/>
                <w:sz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lang w:eastAsia="x-none"/>
              </w:rPr>
              <w:t>fino a 24 mesi</w:t>
            </w:r>
          </w:p>
          <w:p w14:paraId="047CEB75" w14:textId="3A598358" w:rsidR="00DA6334" w:rsidRPr="00A46FF0" w:rsidRDefault="00DA6334" w:rsidP="00DA6334">
            <w:pPr>
              <w:pStyle w:val="Nessunaspaziatura"/>
              <w:numPr>
                <w:ilvl w:val="0"/>
                <w:numId w:val="26"/>
              </w:numPr>
              <w:spacing w:line="312" w:lineRule="auto"/>
              <w:rPr>
                <w:rFonts w:ascii="Georgia" w:eastAsia="MS Mincho" w:hAnsi="Georgia" w:cs="Calibri"/>
                <w:sz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lang w:eastAsia="x-none"/>
              </w:rPr>
              <w:t>fino a 36 mesi</w:t>
            </w:r>
          </w:p>
          <w:p w14:paraId="613999DD" w14:textId="1710A143" w:rsidR="00DA6334" w:rsidRPr="00A46FF0" w:rsidRDefault="00DA6334" w:rsidP="00DA6334">
            <w:pPr>
              <w:pStyle w:val="Nessunaspaziatura"/>
              <w:numPr>
                <w:ilvl w:val="0"/>
                <w:numId w:val="26"/>
              </w:numPr>
              <w:spacing w:line="312" w:lineRule="auto"/>
              <w:rPr>
                <w:rFonts w:ascii="Georgia" w:eastAsia="MS Mincho" w:hAnsi="Georgia" w:cs="Calibri"/>
                <w:sz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lang w:eastAsia="x-none"/>
              </w:rPr>
              <w:t>fino a 48 mesi</w:t>
            </w:r>
          </w:p>
          <w:p w14:paraId="4C97555F" w14:textId="1988F8F0" w:rsidR="00DA6334" w:rsidRPr="00A46FF0" w:rsidRDefault="00DA6334" w:rsidP="00DA6334">
            <w:pPr>
              <w:pStyle w:val="Nessunaspaziatura"/>
              <w:numPr>
                <w:ilvl w:val="0"/>
                <w:numId w:val="26"/>
              </w:numPr>
              <w:spacing w:line="312" w:lineRule="auto"/>
              <w:rPr>
                <w:rFonts w:ascii="Georgia" w:eastAsia="MS Mincho" w:hAnsi="Georgia" w:cs="Calibri"/>
                <w:sz w:val="20"/>
                <w:lang w:eastAsia="x-none"/>
              </w:rPr>
            </w:pPr>
            <w:r w:rsidRPr="00A46FF0">
              <w:rPr>
                <w:rFonts w:ascii="Georgia" w:eastAsia="MS Mincho" w:hAnsi="Georgia" w:cs="Calibri"/>
                <w:sz w:val="20"/>
                <w:lang w:eastAsia="x-none"/>
              </w:rPr>
              <w:t>oltre 48 mesi</w:t>
            </w:r>
          </w:p>
        </w:tc>
        <w:tc>
          <w:tcPr>
            <w:tcW w:w="4394" w:type="dxa"/>
          </w:tcPr>
          <w:p w14:paraId="64B30BCE" w14:textId="112D7A89" w:rsidR="00C47FEA" w:rsidRPr="00A46FF0" w:rsidRDefault="00DA6334" w:rsidP="00A46FF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</w:pPr>
            <w:r w:rsidRPr="00A46FF0">
              <w:rPr>
                <w:rFonts w:ascii="Georgia" w:hAnsi="Georg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</w:tc>
      </w:tr>
    </w:tbl>
    <w:p w14:paraId="4043156B" w14:textId="5021FFE9" w:rsidR="00076268" w:rsidRPr="00A46FF0" w:rsidRDefault="00076268" w:rsidP="009A43CF">
      <w:pPr>
        <w:suppressAutoHyphens w:val="0"/>
        <w:jc w:val="left"/>
        <w:rPr>
          <w:rFonts w:ascii="Georgia" w:hAnsi="Georgia"/>
          <w:sz w:val="20"/>
          <w:szCs w:val="20"/>
        </w:rPr>
      </w:pPr>
    </w:p>
    <w:sectPr w:rsidR="00076268" w:rsidRPr="00A46FF0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A4EF" w14:textId="77777777" w:rsidR="004720E1" w:rsidRDefault="004720E1" w:rsidP="004720E1">
      <w:r>
        <w:separator/>
      </w:r>
    </w:p>
  </w:endnote>
  <w:endnote w:type="continuationSeparator" w:id="0">
    <w:p w14:paraId="46E43574" w14:textId="77777777" w:rsidR="004720E1" w:rsidRDefault="004720E1" w:rsidP="0047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23FD" w14:textId="77777777" w:rsidR="004720E1" w:rsidRDefault="004720E1" w:rsidP="004720E1">
      <w:r>
        <w:separator/>
      </w:r>
    </w:p>
  </w:footnote>
  <w:footnote w:type="continuationSeparator" w:id="0">
    <w:p w14:paraId="422439AF" w14:textId="77777777" w:rsidR="004720E1" w:rsidRDefault="004720E1" w:rsidP="00472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50367"/>
    <w:multiLevelType w:val="hybridMultilevel"/>
    <w:tmpl w:val="7BCCB2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F6774"/>
    <w:multiLevelType w:val="hybridMultilevel"/>
    <w:tmpl w:val="14AED8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0C3728"/>
    <w:multiLevelType w:val="hybridMultilevel"/>
    <w:tmpl w:val="601A1E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E2AE2"/>
    <w:multiLevelType w:val="hybridMultilevel"/>
    <w:tmpl w:val="182A79B4"/>
    <w:lvl w:ilvl="0" w:tplc="9C68AEEC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F52A8"/>
    <w:multiLevelType w:val="hybridMultilevel"/>
    <w:tmpl w:val="DA9ACA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C55B76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548BE"/>
    <w:multiLevelType w:val="hybridMultilevel"/>
    <w:tmpl w:val="E5D233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A2964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DB2ABE"/>
    <w:multiLevelType w:val="hybridMultilevel"/>
    <w:tmpl w:val="E18AF0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3" w15:restartNumberingAfterBreak="0">
    <w:nsid w:val="5730088E"/>
    <w:multiLevelType w:val="hybridMultilevel"/>
    <w:tmpl w:val="D2FEE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27D30"/>
    <w:multiLevelType w:val="hybridMultilevel"/>
    <w:tmpl w:val="F3D8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C75A6"/>
    <w:multiLevelType w:val="hybridMultilevel"/>
    <w:tmpl w:val="8444A0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E966AE"/>
    <w:multiLevelType w:val="hybridMultilevel"/>
    <w:tmpl w:val="DA9ACA7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D7302"/>
    <w:multiLevelType w:val="hybridMultilevel"/>
    <w:tmpl w:val="D6E6D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3"/>
  </w:num>
  <w:num w:numId="5">
    <w:abstractNumId w:val="27"/>
  </w:num>
  <w:num w:numId="6">
    <w:abstractNumId w:val="22"/>
  </w:num>
  <w:num w:numId="7">
    <w:abstractNumId w:val="4"/>
  </w:num>
  <w:num w:numId="8">
    <w:abstractNumId w:val="3"/>
  </w:num>
  <w:num w:numId="9">
    <w:abstractNumId w:val="18"/>
  </w:num>
  <w:num w:numId="10">
    <w:abstractNumId w:val="2"/>
  </w:num>
  <w:num w:numId="11">
    <w:abstractNumId w:val="7"/>
  </w:num>
  <w:num w:numId="12">
    <w:abstractNumId w:val="21"/>
  </w:num>
  <w:num w:numId="13">
    <w:abstractNumId w:val="5"/>
  </w:num>
  <w:num w:numId="14">
    <w:abstractNumId w:val="14"/>
  </w:num>
  <w:num w:numId="15">
    <w:abstractNumId w:val="20"/>
  </w:num>
  <w:num w:numId="16">
    <w:abstractNumId w:val="17"/>
  </w:num>
  <w:num w:numId="17">
    <w:abstractNumId w:val="19"/>
  </w:num>
  <w:num w:numId="18">
    <w:abstractNumId w:val="23"/>
  </w:num>
  <w:num w:numId="19">
    <w:abstractNumId w:val="24"/>
  </w:num>
  <w:num w:numId="20">
    <w:abstractNumId w:val="28"/>
  </w:num>
  <w:num w:numId="21">
    <w:abstractNumId w:val="25"/>
  </w:num>
  <w:num w:numId="22">
    <w:abstractNumId w:val="15"/>
  </w:num>
  <w:num w:numId="23">
    <w:abstractNumId w:val="16"/>
  </w:num>
  <w:num w:numId="24">
    <w:abstractNumId w:val="6"/>
  </w:num>
  <w:num w:numId="25">
    <w:abstractNumId w:val="26"/>
  </w:num>
  <w:num w:numId="26">
    <w:abstractNumId w:val="1"/>
  </w:num>
  <w:num w:numId="27">
    <w:abstractNumId w:val="10"/>
  </w:num>
  <w:num w:numId="28">
    <w:abstractNumId w:val="12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67913"/>
    <w:rsid w:val="00177472"/>
    <w:rsid w:val="00193556"/>
    <w:rsid w:val="001A6175"/>
    <w:rsid w:val="001B3D25"/>
    <w:rsid w:val="001C5E49"/>
    <w:rsid w:val="001D1E23"/>
    <w:rsid w:val="001E1D5F"/>
    <w:rsid w:val="00205E53"/>
    <w:rsid w:val="002776A3"/>
    <w:rsid w:val="002818D1"/>
    <w:rsid w:val="00282C62"/>
    <w:rsid w:val="002B44D9"/>
    <w:rsid w:val="00304860"/>
    <w:rsid w:val="00320745"/>
    <w:rsid w:val="00336D6D"/>
    <w:rsid w:val="00345FD5"/>
    <w:rsid w:val="00346C34"/>
    <w:rsid w:val="00346ECA"/>
    <w:rsid w:val="00352196"/>
    <w:rsid w:val="00360C4B"/>
    <w:rsid w:val="003732A0"/>
    <w:rsid w:val="003A16C9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5688"/>
    <w:rsid w:val="00471A69"/>
    <w:rsid w:val="004720E1"/>
    <w:rsid w:val="004A0476"/>
    <w:rsid w:val="004A63AC"/>
    <w:rsid w:val="004C2CD7"/>
    <w:rsid w:val="004D3C16"/>
    <w:rsid w:val="004D3D94"/>
    <w:rsid w:val="00504960"/>
    <w:rsid w:val="00513BA3"/>
    <w:rsid w:val="005222C1"/>
    <w:rsid w:val="005774DA"/>
    <w:rsid w:val="00585216"/>
    <w:rsid w:val="005C5975"/>
    <w:rsid w:val="005C5C26"/>
    <w:rsid w:val="005E6A2F"/>
    <w:rsid w:val="005F129C"/>
    <w:rsid w:val="005F35AB"/>
    <w:rsid w:val="005F6492"/>
    <w:rsid w:val="0060191A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27A12"/>
    <w:rsid w:val="00745397"/>
    <w:rsid w:val="00764D77"/>
    <w:rsid w:val="007A6150"/>
    <w:rsid w:val="007C2D87"/>
    <w:rsid w:val="007C4982"/>
    <w:rsid w:val="007C527B"/>
    <w:rsid w:val="007F79A0"/>
    <w:rsid w:val="0081358C"/>
    <w:rsid w:val="00851445"/>
    <w:rsid w:val="00875EC4"/>
    <w:rsid w:val="00886A75"/>
    <w:rsid w:val="008A4333"/>
    <w:rsid w:val="008A7683"/>
    <w:rsid w:val="008E2924"/>
    <w:rsid w:val="00903982"/>
    <w:rsid w:val="009233BC"/>
    <w:rsid w:val="00940175"/>
    <w:rsid w:val="0095048D"/>
    <w:rsid w:val="00967CAF"/>
    <w:rsid w:val="00991701"/>
    <w:rsid w:val="009A43CF"/>
    <w:rsid w:val="009B08D6"/>
    <w:rsid w:val="009E2AEB"/>
    <w:rsid w:val="00A02B5A"/>
    <w:rsid w:val="00A05F61"/>
    <w:rsid w:val="00A13F56"/>
    <w:rsid w:val="00A22D62"/>
    <w:rsid w:val="00A2366C"/>
    <w:rsid w:val="00A250C5"/>
    <w:rsid w:val="00A35CE1"/>
    <w:rsid w:val="00A40DE3"/>
    <w:rsid w:val="00A45C71"/>
    <w:rsid w:val="00A46FF0"/>
    <w:rsid w:val="00A519C6"/>
    <w:rsid w:val="00A52DDC"/>
    <w:rsid w:val="00A61AB1"/>
    <w:rsid w:val="00A66903"/>
    <w:rsid w:val="00A70F95"/>
    <w:rsid w:val="00A95DA8"/>
    <w:rsid w:val="00AC4ABA"/>
    <w:rsid w:val="00AC57AD"/>
    <w:rsid w:val="00AE0D44"/>
    <w:rsid w:val="00AF5E3F"/>
    <w:rsid w:val="00B14BF6"/>
    <w:rsid w:val="00B3167E"/>
    <w:rsid w:val="00B33AD1"/>
    <w:rsid w:val="00B74EFD"/>
    <w:rsid w:val="00B85EFD"/>
    <w:rsid w:val="00BA39E4"/>
    <w:rsid w:val="00BD21FC"/>
    <w:rsid w:val="00BD41CB"/>
    <w:rsid w:val="00BE44EC"/>
    <w:rsid w:val="00BF1E55"/>
    <w:rsid w:val="00BF733D"/>
    <w:rsid w:val="00C1752A"/>
    <w:rsid w:val="00C26FAF"/>
    <w:rsid w:val="00C347BB"/>
    <w:rsid w:val="00C47FEA"/>
    <w:rsid w:val="00C648F4"/>
    <w:rsid w:val="00C86BD3"/>
    <w:rsid w:val="00C91929"/>
    <w:rsid w:val="00CA4B2D"/>
    <w:rsid w:val="00CB0196"/>
    <w:rsid w:val="00D0182E"/>
    <w:rsid w:val="00D26D24"/>
    <w:rsid w:val="00D609CF"/>
    <w:rsid w:val="00D614AF"/>
    <w:rsid w:val="00D70762"/>
    <w:rsid w:val="00D75BB8"/>
    <w:rsid w:val="00DA6334"/>
    <w:rsid w:val="00DE7AB4"/>
    <w:rsid w:val="00E04175"/>
    <w:rsid w:val="00E17057"/>
    <w:rsid w:val="00E225DC"/>
    <w:rsid w:val="00E366F6"/>
    <w:rsid w:val="00E36A6E"/>
    <w:rsid w:val="00E5070D"/>
    <w:rsid w:val="00E665EB"/>
    <w:rsid w:val="00E66A98"/>
    <w:rsid w:val="00E82332"/>
    <w:rsid w:val="00E84EA7"/>
    <w:rsid w:val="00EB72E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F10A91"/>
    <w:rsid w:val="00F30905"/>
    <w:rsid w:val="00F71FEE"/>
    <w:rsid w:val="00F84A0E"/>
    <w:rsid w:val="00F959B0"/>
    <w:rsid w:val="00FA3EE6"/>
    <w:rsid w:val="00FA52CD"/>
    <w:rsid w:val="00FC55C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7913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table" w:customStyle="1" w:styleId="Grigliatabella1">
    <w:name w:val="Griglia tabella1"/>
    <w:basedOn w:val="Tabellanormale"/>
    <w:next w:val="Grigliatabella"/>
    <w:uiPriority w:val="39"/>
    <w:rsid w:val="0032074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0745"/>
    <w:pPr>
      <w:autoSpaceDE w:val="0"/>
      <w:autoSpaceDN w:val="0"/>
      <w:adjustRightInd w:val="0"/>
    </w:pPr>
    <w:rPr>
      <w:rFonts w:ascii="Garamond" w:hAnsi="Garamond" w:cs="Garamond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Elisabetta Rolla</cp:lastModifiedBy>
  <cp:revision>7</cp:revision>
  <cp:lastPrinted>2019-02-15T09:28:00Z</cp:lastPrinted>
  <dcterms:created xsi:type="dcterms:W3CDTF">2024-02-20T07:32:00Z</dcterms:created>
  <dcterms:modified xsi:type="dcterms:W3CDTF">2024-09-30T08:18:00Z</dcterms:modified>
</cp:coreProperties>
</file>